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Heading2"/>
        <w:bidi w:val="0"/>
        <w:jc w:val="left"/>
        <w:rPr>
          <w:rFonts w:ascii="Source Sans Pro;sans-serif" w:hAnsi="Source Sans Pro;sans-serif"/>
          <w:b w:val="false"/>
          <w:i w:val="false"/>
          <w:caps w:val="false"/>
          <w:smallCaps w:val="false"/>
          <w:color w:val="000000"/>
          <w:spacing w:val="0"/>
        </w:rPr>
      </w:pPr>
      <w:bookmarkStart w:id="0" w:name="seccestitle10"/>
      <w:bookmarkEnd w:id="0"/>
      <w:r>
        <w:rPr>
          <w:rFonts w:ascii="Source Sans Pro;sans-serif" w:hAnsi="Source Sans Pro;sans-serif"/>
          <w:b w:val="false"/>
          <w:i w:val="false"/>
          <w:caps w:val="false"/>
          <w:smallCaps w:val="false"/>
          <w:color w:val="000000"/>
          <w:spacing w:val="0"/>
        </w:rPr>
        <w:t>Περίληψη</w:t>
      </w:r>
    </w:p>
    <w:p>
      <w:pPr>
        <w:pStyle w:val="Heading3"/>
        <w:widowControl/>
        <w:bidi w:val="0"/>
        <w:spacing w:before="0" w:after="140"/>
        <w:ind w:left="0" w:right="0" w:hanging="0"/>
        <w:jc w:val="left"/>
        <w:rPr>
          <w:rFonts w:ascii="Source Sans Pro;sans-serif" w:hAnsi="Source Sans Pro;sans-serif"/>
          <w:b w:val="false"/>
          <w:i w:val="false"/>
          <w:caps w:val="false"/>
          <w:smallCaps w:val="false"/>
          <w:color w:val="000000"/>
          <w:spacing w:val="0"/>
          <w:sz w:val="25"/>
        </w:rPr>
      </w:pPr>
      <w:r>
        <w:rPr>
          <w:rFonts w:ascii="Source Sans Pro;sans-serif" w:hAnsi="Source Sans Pro;sans-serif"/>
          <w:b w:val="false"/>
          <w:i w:val="false"/>
          <w:caps w:val="false"/>
          <w:smallCaps w:val="false"/>
          <w:color w:val="000000"/>
          <w:spacing w:val="0"/>
          <w:sz w:val="25"/>
        </w:rPr>
        <w:t>Ιστορικό</w:t>
      </w:r>
    </w:p>
    <w:p>
      <w:pPr>
        <w:pStyle w:val="TextBody"/>
        <w:widowControl/>
        <w:bidi w:val="0"/>
        <w:jc w:val="left"/>
        <w:rPr>
          <w:rFonts w:ascii="Source Sans Pro;sans-serif" w:hAnsi="Source Sans Pro;sans-serif"/>
          <w:b w:val="false"/>
          <w:i w:val="false"/>
          <w:caps w:val="false"/>
          <w:smallCaps w:val="false"/>
          <w:color w:val="505050"/>
          <w:spacing w:val="0"/>
          <w:sz w:val="25"/>
        </w:rPr>
      </w:pPr>
      <w:r>
        <w:rPr>
          <w:rFonts w:ascii="Source Sans Pro;sans-serif" w:hAnsi="Source Sans Pro;sans-serif"/>
          <w:b w:val="false"/>
          <w:i w:val="false"/>
          <w:caps w:val="false"/>
          <w:smallCaps w:val="false"/>
          <w:color w:val="505050"/>
          <w:spacing w:val="0"/>
          <w:sz w:val="25"/>
        </w:rPr>
        <w:t>Η κατανόηση του επιπέδου και των χαρακτηριστικών προστασίας από προηγούμενη μόλυνση SARS-CoV-2 έναντι επακόλουθης επαναμόλυνσης, συμπτωματικής νόσου COVID-19 και σοβαρής νόσου είναι απαραίτητη για την πρόβλεψη μελλοντικού δυνητικού φόρτου ασθενειών, για το σχεδιασμό πολιτικών που περιορίζουν τα ταξίδια ή την πρόσβαση σε χώρους όπου υπάρχει υψηλός κίνδυνος μετάδοσης και για ενημέρωση των επιλογών σχετικά με το πότε θα ληφθούν οι δόσεις του εμβολίου. Στόχος μας ήταν να συνθέσουμε συστηματικά μελέτες για την εκτίμηση της προστασίας από προηγούμενες λοιμώξεις ανά παραλλαγή και όπου το επιτρέπουν τα δεδομένα, ανά χρόνο από τη μόλυνση.</w:t>
      </w:r>
    </w:p>
    <w:p>
      <w:pPr>
        <w:pStyle w:val="Heading3"/>
        <w:widowControl/>
        <w:bidi w:val="0"/>
        <w:spacing w:before="0" w:after="140"/>
        <w:jc w:val="left"/>
        <w:rPr>
          <w:rFonts w:ascii="Source Sans Pro;sans-serif" w:hAnsi="Source Sans Pro;sans-serif"/>
          <w:b w:val="false"/>
          <w:i w:val="false"/>
          <w:caps w:val="false"/>
          <w:smallCaps w:val="false"/>
          <w:color w:val="000000"/>
          <w:spacing w:val="0"/>
          <w:sz w:val="25"/>
        </w:rPr>
      </w:pPr>
      <w:r>
        <w:rPr>
          <w:rFonts w:ascii="Source Sans Pro;sans-serif" w:hAnsi="Source Sans Pro;sans-serif"/>
          <w:b w:val="false"/>
          <w:i w:val="false"/>
          <w:caps w:val="false"/>
          <w:smallCaps w:val="false"/>
          <w:color w:val="000000"/>
          <w:spacing w:val="0"/>
          <w:sz w:val="25"/>
        </w:rPr>
        <w:t>Μέθοδοι</w:t>
      </w:r>
    </w:p>
    <w:p>
      <w:pPr>
        <w:pStyle w:val="TextBody"/>
        <w:widowControl/>
        <w:bidi w:val="0"/>
        <w:jc w:val="left"/>
        <w:rPr>
          <w:rFonts w:ascii="Source Sans Pro;sans-serif" w:hAnsi="Source Sans Pro;sans-serif"/>
          <w:b w:val="false"/>
          <w:i w:val="false"/>
          <w:caps w:val="false"/>
          <w:smallCaps w:val="false"/>
          <w:color w:val="505050"/>
          <w:spacing w:val="0"/>
          <w:sz w:val="25"/>
        </w:rPr>
      </w:pPr>
      <w:r>
        <w:rPr>
          <w:rFonts w:ascii="Source Sans Pro;sans-serif" w:hAnsi="Source Sans Pro;sans-serif"/>
          <w:b w:val="false"/>
          <w:i w:val="false"/>
          <w:caps w:val="false"/>
          <w:smallCaps w:val="false"/>
          <w:color w:val="505050"/>
          <w:spacing w:val="0"/>
          <w:sz w:val="25"/>
        </w:rPr>
        <w:t>Σε αυτήν τη συστηματική ανασκόπηση και μετα-ανάλυση, εντοπίσαμε, αναθεωρήσαμε και εξάγαμε από την επιστημονική βιβλιογραφία αναδρομικές και προοπτικές μελέτες κοόρτης και μελέτες αρνητικών σε δοκιμασία περιπτώσεων ελέγχου που δημοσιεύθηκαν από την αρχή έως τις 31 Σεπτεμβρίου 2022, οι οποίες υπολόγισαν τη μείωση του κινδύνου COVID-19 μεταξύ ατόμων με προηγούμενη λοίμωξη SARS-CoV-2 σε σύγκριση με άτομα χωρίς προηγούμενη μόλυνση. Αναλύσαμε την αποτελεσματικότητα της προηγούμενης μόλυνσης ανά έκβαση (λοίμωξη, συμπτωματική ασθένεια και σοβαρή ασθένεια), παραλλαγή και χρόνο μετά τη μόλυνση. Εκτελέσαμε μια Bayesian meta-regression για να εκτιμήσουμε τις συγκεντρωτικές εκτιμήσεις προστασίας. Η αξιολόγηση κινδύνου μεροληψίας αξιολογήθηκε χρησιμοποιώντας τα εργαλεία αξιολόγησης ποιότητας των Εθνικών Ινστιτούτων Υγείας. Η συστηματική ανασκόπηση ήταν συμβατή με το PRISMA και καταχωρήθηκε στο PROSPERO (αριθμός CRD42022303850).</w:t>
      </w:r>
    </w:p>
    <w:p>
      <w:pPr>
        <w:pStyle w:val="Heading3"/>
        <w:widowControl/>
        <w:bidi w:val="0"/>
        <w:spacing w:before="0" w:after="140"/>
        <w:jc w:val="left"/>
        <w:rPr>
          <w:rFonts w:ascii="Source Sans Pro;sans-serif" w:hAnsi="Source Sans Pro;sans-serif"/>
          <w:b w:val="false"/>
          <w:i w:val="false"/>
          <w:caps w:val="false"/>
          <w:smallCaps w:val="false"/>
          <w:color w:val="000000"/>
          <w:spacing w:val="0"/>
          <w:sz w:val="25"/>
        </w:rPr>
      </w:pPr>
      <w:r>
        <w:rPr>
          <w:rFonts w:ascii="Source Sans Pro;sans-serif" w:hAnsi="Source Sans Pro;sans-serif"/>
          <w:b w:val="false"/>
          <w:i w:val="false"/>
          <w:caps w:val="false"/>
          <w:smallCaps w:val="false"/>
          <w:color w:val="000000"/>
          <w:spacing w:val="0"/>
          <w:sz w:val="25"/>
        </w:rPr>
        <w:t>Ευρήματα</w:t>
      </w:r>
    </w:p>
    <w:p>
      <w:pPr>
        <w:pStyle w:val="TextBody"/>
        <w:widowControl/>
        <w:bidi w:val="0"/>
        <w:jc w:val="left"/>
        <w:rPr>
          <w:rFonts w:ascii="Source Sans Pro;sans-serif" w:hAnsi="Source Sans Pro;sans-serif"/>
          <w:b w:val="false"/>
          <w:i w:val="false"/>
          <w:caps w:val="false"/>
          <w:smallCaps w:val="false"/>
          <w:color w:val="505050"/>
          <w:spacing w:val="0"/>
          <w:sz w:val="25"/>
        </w:rPr>
      </w:pPr>
      <w:r>
        <w:rPr>
          <w:rFonts w:ascii="Source Sans Pro;sans-serif" w:hAnsi="Source Sans Pro;sans-serif"/>
          <w:b w:val="false"/>
          <w:i w:val="false"/>
          <w:caps w:val="false"/>
          <w:smallCaps w:val="false"/>
          <w:color w:val="505050"/>
          <w:spacing w:val="0"/>
          <w:sz w:val="25"/>
        </w:rPr>
        <w:t>Προσδιορίσαμε συνολικά 65 μελέτες από 19 διαφορετικές χώρες. Οι μετα-αναλύσεις μας έδειξαν ότι η προστασία από παλαιότερες λοιμώξεις και οποιαδήποτε συμπτωματική ασθένεια ήταν υψηλή για τις προγονικές, άλφα, βήτα και δέλτα παραλλαγές, αλλά ήταν σημαντικά χαμηλότερη για την παραλλαγή BA.1 omicron. Η συγκεντρωτική αποτελεσματικότητα κατά της επαναμόλυνσης από την παραλλαγή BA.1 omicron ήταν 45,3% (διάστημα αβεβαιότητας 95% [UI] 17,3–76,1) και 44,0% (26,5–65,0) έναντι του omicron ΒΑ.1 συμπτωματική νόσος. Η μέση συγκεντρωτική αποτελεσματικότητα ήταν μεγαλύτερη από 78% έναντι σοβαρής νόσου (νοσοκομειακή νοσηλεία και θάνατος) για όλες τις παραλλαγές, συμπεριλαμβανομένου του omicron BA.1. Η προστασία από επαναμόλυνση από προγονικές, άλφα και δέλτα παραλλαγές μειώθηκε με την πάροδο του χρόνου, αλλά παρέμεινε στο 78,6% (49,8–93,6) στις 40 εβδομάδες. Προστασία από την επαναμόλυνση από το omicron BA. 1 παραλλαγή μειώθηκε πιο γρήγορα και υπολογίστηκε σε 36,1% (24,4–51,3) στις 40 εβδομάδες. Από την άλλη πλευρά, η προστασία από σοβαρές ασθένειες παρέμεινε υψηλή για όλες τις παραλλαγές, με 90,2% (69,7–97,5) για τις προγονικές, άλφα και δέλτα παραλλαγές και 88,9% (84,7–90· 9) για το omicron BA.1 στις 40 εβδομάδες.</w:t>
      </w:r>
    </w:p>
    <w:p>
      <w:pPr>
        <w:pStyle w:val="Heading3"/>
        <w:widowControl/>
        <w:bidi w:val="0"/>
        <w:spacing w:before="0" w:after="140"/>
        <w:jc w:val="left"/>
        <w:rPr>
          <w:rFonts w:ascii="Source Sans Pro;sans-serif" w:hAnsi="Source Sans Pro;sans-serif"/>
          <w:b w:val="false"/>
          <w:i w:val="false"/>
          <w:caps w:val="false"/>
          <w:smallCaps w:val="false"/>
          <w:color w:val="000000"/>
          <w:spacing w:val="0"/>
          <w:sz w:val="25"/>
        </w:rPr>
      </w:pPr>
      <w:r>
        <w:rPr>
          <w:rFonts w:ascii="Source Sans Pro;sans-serif" w:hAnsi="Source Sans Pro;sans-serif"/>
          <w:b w:val="false"/>
          <w:i w:val="false"/>
          <w:caps w:val="false"/>
          <w:smallCaps w:val="false"/>
          <w:color w:val="000000"/>
          <w:spacing w:val="0"/>
          <w:sz w:val="25"/>
        </w:rPr>
        <w:t>Ερμηνεία</w:t>
      </w:r>
    </w:p>
    <w:p>
      <w:pPr>
        <w:pStyle w:val="TextBody"/>
        <w:widowControl/>
        <w:bidi w:val="0"/>
        <w:jc w:val="left"/>
        <w:rPr>
          <w:rFonts w:ascii="Source Sans Pro;sans-serif" w:hAnsi="Source Sans Pro;sans-serif"/>
          <w:b w:val="false"/>
          <w:i w:val="false"/>
          <w:caps w:val="false"/>
          <w:smallCaps w:val="false"/>
          <w:color w:val="505050"/>
          <w:spacing w:val="0"/>
          <w:sz w:val="25"/>
        </w:rPr>
      </w:pPr>
      <w:r>
        <w:rPr>
          <w:rFonts w:ascii="Source Sans Pro;sans-serif" w:hAnsi="Source Sans Pro;sans-serif"/>
          <w:b w:val="false"/>
          <w:i w:val="false"/>
          <w:caps w:val="false"/>
          <w:smallCaps w:val="false"/>
          <w:color w:val="505050"/>
          <w:spacing w:val="0"/>
          <w:sz w:val="25"/>
        </w:rPr>
        <w:t>Η προστασία από προηγούμενες λοιμώξεις έναντι επαναμόλυνσης από παραλλαγές pre-omicron ήταν πολύ υψηλή και παρέμεινε υψηλή ακόμη και μετά από 40 εβδομάδες. Η προστασία ήταν σημαντικά χαμηλότερη για την παραλλαγή Omicron BA.1 και μειώθηκε πιο γρήγορα με την πάροδο του χρόνου από ό,τι η προστασία έναντι προηγούμενων παραλλαγών. Η προστασία από σοβαρή ασθένεια ήταν υψηλή για όλες τις παραλλαγές. Η ανοσία που παρέχεται από προηγούμενες λοιμώξεις θα πρέπει να σταθμίζεται παράλληλα με την προστασία από τον εμβολιασμό κατά την αξιολόγηση της μελλοντικής επιβάρυνσης της νόσου από τον COVID-19, την παροχή καθοδήγησης για το πότε πρέπει να εμβολιάζονται τα άτομα και τον σχεδιασμό πολιτικών που επιβάλλουν εμβολιασμό για τους εργαζόμενους ή περιορίζουν την πρόσβαση, με βάση την ανοσολογική κατάσταση , σε ρυθμίσεις όπου ο κίνδυνος μετάδοσης είναι υψηλός, όπως τα ταξίδια και οι ρυθμίσεις σε εσωτερικούς χώρους υψηλής πληρότητας.</w:t>
      </w:r>
    </w:p>
    <w:p>
      <w:pPr>
        <w:pStyle w:val="Heading3"/>
        <w:widowControl/>
        <w:bidi w:val="0"/>
        <w:spacing w:before="0" w:after="140"/>
        <w:jc w:val="left"/>
        <w:rPr>
          <w:rFonts w:ascii="Source Sans Pro;sans-serif" w:hAnsi="Source Sans Pro;sans-serif"/>
          <w:b w:val="false"/>
          <w:i w:val="false"/>
          <w:caps w:val="false"/>
          <w:smallCaps w:val="false"/>
          <w:color w:val="000000"/>
          <w:spacing w:val="0"/>
          <w:sz w:val="25"/>
        </w:rPr>
      </w:pPr>
      <w:r>
        <w:rPr>
          <w:rFonts w:ascii="Source Sans Pro;sans-serif" w:hAnsi="Source Sans Pro;sans-serif"/>
          <w:b w:val="false"/>
          <w:i w:val="false"/>
          <w:caps w:val="false"/>
          <w:smallCaps w:val="false"/>
          <w:color w:val="000000"/>
          <w:spacing w:val="0"/>
          <w:sz w:val="25"/>
        </w:rPr>
        <w:t>Χρηματοδότηση</w:t>
      </w:r>
    </w:p>
    <w:p>
      <w:pPr>
        <w:pStyle w:val="TextBody"/>
        <w:widowControl/>
        <w:bidi w:val="0"/>
        <w:spacing w:before="0" w:after="0"/>
        <w:jc w:val="left"/>
        <w:rPr>
          <w:rFonts w:ascii="Source Sans Pro;sans-serif" w:hAnsi="Source Sans Pro;sans-serif"/>
          <w:b w:val="false"/>
          <w:i w:val="false"/>
          <w:caps w:val="false"/>
          <w:smallCaps w:val="false"/>
          <w:color w:val="505050"/>
          <w:spacing w:val="0"/>
          <w:sz w:val="25"/>
        </w:rPr>
      </w:pPr>
      <w:r>
        <w:rPr>
          <w:rFonts w:ascii="Source Sans Pro;sans-serif" w:hAnsi="Source Sans Pro;sans-serif"/>
          <w:b w:val="false"/>
          <w:i w:val="false"/>
          <w:caps w:val="false"/>
          <w:smallCaps w:val="false"/>
          <w:color w:val="505050"/>
          <w:spacing w:val="0"/>
          <w:sz w:val="25"/>
        </w:rPr>
        <w:t>Bill &amp; Melinda Gates Foundation, J Stanton, T Gillespie και J and E Nordstrom.</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swiss"/>
    <w:pitch w:val="variable"/>
  </w:font>
  <w:font w:name="Source Sans Pro">
    <w:altName w:val="sans-serif"/>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Lohit Devanagari"/>
        <w:kern w:val="2"/>
        <w:sz w:val="24"/>
        <w:szCs w:val="24"/>
        <w:lang w:val="el-GR"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Noto Serif CJK SC" w:cs="Lohit Devanagari"/>
      <w:color w:val="auto"/>
      <w:kern w:val="2"/>
      <w:sz w:val="24"/>
      <w:szCs w:val="24"/>
      <w:lang w:val="el-GR" w:eastAsia="zh-CN" w:bidi="hi-IN"/>
    </w:rPr>
  </w:style>
  <w:style w:type="paragraph" w:styleId="Heading1">
    <w:name w:val="Heading 1"/>
    <w:basedOn w:val="Heading"/>
    <w:next w:val="TextBody"/>
    <w:qFormat/>
    <w:pPr>
      <w:spacing w:before="240" w:after="120"/>
      <w:outlineLvl w:val="0"/>
    </w:pPr>
    <w:rPr>
      <w:rFonts w:ascii="Liberation Serif" w:hAnsi="Liberation Serif" w:eastAsia="Noto Serif CJK SC" w:cs="Lohit Devanagari"/>
      <w:b/>
      <w:bCs/>
      <w:sz w:val="48"/>
      <w:szCs w:val="48"/>
    </w:rPr>
  </w:style>
  <w:style w:type="paragraph" w:styleId="Heading2">
    <w:name w:val="Heading 2"/>
    <w:basedOn w:val="Heading"/>
    <w:next w:val="TextBody"/>
    <w:qFormat/>
    <w:pPr>
      <w:spacing w:before="200" w:after="120"/>
      <w:outlineLvl w:val="1"/>
    </w:pPr>
    <w:rPr>
      <w:rFonts w:ascii="Liberation Serif" w:hAnsi="Liberation Serif" w:eastAsia="Noto Serif CJK SC" w:cs="Lohit Devanagari"/>
      <w:b/>
      <w:bCs/>
      <w:sz w:val="36"/>
      <w:szCs w:val="36"/>
    </w:rPr>
  </w:style>
  <w:style w:type="paragraph" w:styleId="Heading3">
    <w:name w:val="Heading 3"/>
    <w:basedOn w:val="Heading"/>
    <w:next w:val="TextBody"/>
    <w:qFormat/>
    <w:pPr>
      <w:spacing w:before="140" w:after="120"/>
      <w:outlineLvl w:val="2"/>
    </w:pPr>
    <w:rPr>
      <w:rFonts w:ascii="Liberation Serif" w:hAnsi="Liberation Serif" w:eastAsia="Noto Serif CJK SC" w:cs="Lohit Devanagari"/>
      <w:b/>
      <w:bCs/>
      <w:sz w:val="28"/>
      <w:szCs w:val="28"/>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LibreOffice/7.3.7.2$Linux_X86_64 LibreOffice_project/30$Build-2</Application>
  <AppVersion>15.0000</AppVersion>
  <Pages>2</Pages>
  <Words>544</Words>
  <Characters>3311</Characters>
  <CharactersWithSpaces>3838</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2023-02-19T19:08:02Z</dcterms:created>
  <dc:creator/>
  <dc:description/>
  <dc:language>el-GR</dc:language>
  <cp:lastModifiedBy/>
  <dcterms:modified xsi:type="dcterms:W3CDTF">2023-02-19T19:11:16Z</dcterms:modified>
  <cp:revision>1</cp:revision>
  <dc:subject/>
  <dc:title/>
</cp:coreProperties>
</file>